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CCB7" w14:textId="77777777" w:rsidR="00B26670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2A788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2A7884"/>
          <w:sz w:val="24"/>
          <w:szCs w:val="24"/>
          <w:lang w:eastAsia="en-GB"/>
        </w:rPr>
        <w:t>MASH referral/Contact (a referral made to MASH by a professional or member of the public)</w:t>
      </w:r>
    </w:p>
    <w:p w14:paraId="60CF34C3" w14:textId="77777777" w:rsidR="00B26670" w:rsidRPr="001801FA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2A788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2A7884"/>
          <w:sz w:val="24"/>
          <w:szCs w:val="24"/>
          <w:lang w:eastAsia="en-GB"/>
        </w:rPr>
        <w:t>Referral/Social Care Referral (once a contact has been passed for a statutory intervention)</w:t>
      </w:r>
    </w:p>
    <w:p w14:paraId="08280418" w14:textId="77777777" w:rsidR="00B26670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</w:p>
    <w:p w14:paraId="0231CBBD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1. Initial Contacts</w:t>
      </w:r>
    </w:p>
    <w:p w14:paraId="4AD55E41" w14:textId="0C7E7093" w:rsidR="00B26670" w:rsidRDefault="00B26670" w:rsidP="000B56CB">
      <w:pPr>
        <w:spacing w:after="0" w:line="240" w:lineRule="auto"/>
      </w:pPr>
      <w:r w:rsidRPr="00B26670">
        <w:t>An Initial Contact is made where Children's Social Care is contacted about a child,</w:t>
      </w:r>
      <w:r>
        <w:t xml:space="preserve"> </w:t>
      </w:r>
      <w:r w:rsidRPr="00B26670">
        <w:t>and where there is a request for general advice, information</w:t>
      </w:r>
      <w:r>
        <w:t>,</w:t>
      </w:r>
      <w:r w:rsidRPr="00B26670">
        <w:t xml:space="preserve"> or a service.</w:t>
      </w:r>
      <w:r>
        <w:t xml:space="preserve"> These are received via email, or telephone if there is an immediate safeguarding concern or the caller is a member of the public.</w:t>
      </w:r>
    </w:p>
    <w:p w14:paraId="69B16E2C" w14:textId="77777777" w:rsidR="000B56CB" w:rsidRDefault="000B56CB" w:rsidP="000B56CB">
      <w:pPr>
        <w:spacing w:after="0" w:line="240" w:lineRule="auto"/>
      </w:pPr>
    </w:p>
    <w:p w14:paraId="51405E1F" w14:textId="56DC85B8" w:rsidR="00B26670" w:rsidRDefault="00B26670" w:rsidP="000B56CB">
      <w:pPr>
        <w:spacing w:after="0" w:line="240" w:lineRule="auto"/>
      </w:pPr>
      <w:r>
        <w:t xml:space="preserve">Information regarding children who are already open to a social worker will be passed to the social worker, manager, and business support. If appropriate (depending on the referrer), the referrer will be advised the child is open to a social worker. </w:t>
      </w:r>
    </w:p>
    <w:p w14:paraId="6502C7B9" w14:textId="77777777" w:rsidR="000B56CB" w:rsidRDefault="000B56CB" w:rsidP="000B56CB">
      <w:pPr>
        <w:spacing w:after="0" w:line="240" w:lineRule="auto"/>
      </w:pPr>
    </w:p>
    <w:p w14:paraId="728974C4" w14:textId="36B4E2EB" w:rsidR="00B26670" w:rsidRDefault="00B26670" w:rsidP="000B56CB">
      <w:pPr>
        <w:spacing w:after="0" w:line="240" w:lineRule="auto"/>
      </w:pPr>
      <w:r w:rsidRPr="00B26670">
        <w:t xml:space="preserve">All contacts need to be considered </w:t>
      </w:r>
      <w:r>
        <w:t xml:space="preserve">against </w:t>
      </w:r>
      <w:r w:rsidRPr="00B26670">
        <w:t xml:space="preserve">the Threshold Document </w:t>
      </w:r>
      <w:r>
        <w:t>(levels 1-4)</w:t>
      </w:r>
      <w:r w:rsidRPr="00B26670">
        <w:t xml:space="preserve"> and a decision made within 24 hours regarding the level of response required.</w:t>
      </w:r>
    </w:p>
    <w:p w14:paraId="54721BA0" w14:textId="77777777" w:rsidR="000B56CB" w:rsidRDefault="000B56CB" w:rsidP="000B56CB">
      <w:pPr>
        <w:spacing w:after="0" w:line="240" w:lineRule="auto"/>
      </w:pPr>
    </w:p>
    <w:p w14:paraId="4BF9F4EE" w14:textId="77777777" w:rsidR="006358DC" w:rsidRDefault="006358DC" w:rsidP="000B56CB">
      <w:pPr>
        <w:spacing w:after="0" w:line="240" w:lineRule="auto"/>
      </w:pPr>
      <w:r>
        <w:t>If there are safeguarding concerns, professionals should complete a MASH referral.</w:t>
      </w:r>
    </w:p>
    <w:p w14:paraId="7A32D415" w14:textId="4F363C01" w:rsidR="00B26670" w:rsidRDefault="006358DC" w:rsidP="000B56CB">
      <w:pPr>
        <w:spacing w:after="0" w:line="240" w:lineRule="auto"/>
      </w:pPr>
      <w:r>
        <w:t xml:space="preserve">If the request is for Early Help, an Early Help assessment needs to be completed. This will be reviewed to ensure there are no safeguarding concerns that need to be considered. </w:t>
      </w:r>
    </w:p>
    <w:p w14:paraId="52D1ECA6" w14:textId="5A70886D" w:rsidR="00B26670" w:rsidRDefault="00B26670" w:rsidP="000B56CB">
      <w:pPr>
        <w:spacing w:after="0" w:line="240" w:lineRule="auto"/>
      </w:pPr>
    </w:p>
    <w:p w14:paraId="59128E3F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2. Referrals</w:t>
      </w:r>
    </w:p>
    <w:p w14:paraId="0DCCC78D" w14:textId="662AA915" w:rsidR="00B26670" w:rsidRDefault="000B56CB" w:rsidP="000B56CB">
      <w:pPr>
        <w:spacing w:after="0" w:line="240" w:lineRule="auto"/>
      </w:pPr>
      <w:r>
        <w:t>MASH referrals should be discussed with the safeguarding lead of the referrers service</w:t>
      </w:r>
      <w:r w:rsidR="0046124A">
        <w:t xml:space="preserve"> prior to being sent</w:t>
      </w:r>
      <w:r>
        <w:t xml:space="preserve">. </w:t>
      </w:r>
    </w:p>
    <w:p w14:paraId="2FFD5309" w14:textId="77777777" w:rsidR="000B56CB" w:rsidRDefault="000B56CB" w:rsidP="000B56CB">
      <w:pPr>
        <w:spacing w:after="0" w:line="240" w:lineRule="auto"/>
      </w:pPr>
    </w:p>
    <w:p w14:paraId="318DA061" w14:textId="389AA331" w:rsidR="000B56CB" w:rsidRDefault="000B56CB" w:rsidP="000B56CB">
      <w:pPr>
        <w:spacing w:after="0" w:line="240" w:lineRule="auto"/>
      </w:pPr>
      <w:r>
        <w:t>Consent should be gained unless this would put the child at risk of harm if parents were spoken with.</w:t>
      </w:r>
    </w:p>
    <w:p w14:paraId="1F734F04" w14:textId="77777777" w:rsidR="000B56CB" w:rsidRDefault="000B56CB" w:rsidP="000B56CB">
      <w:pPr>
        <w:spacing w:after="0" w:line="240" w:lineRule="auto"/>
      </w:pPr>
    </w:p>
    <w:p w14:paraId="63033464" w14:textId="7C08377C" w:rsidR="000B56CB" w:rsidRDefault="000B56CB" w:rsidP="000B56CB">
      <w:pPr>
        <w:spacing w:after="0" w:line="240" w:lineRule="auto"/>
      </w:pPr>
      <w:r>
        <w:t>The referrals being complete should include:</w:t>
      </w:r>
    </w:p>
    <w:p w14:paraId="19F01DEB" w14:textId="0D1B75A2" w:rsidR="000B56CB" w:rsidRDefault="000B56CB" w:rsidP="000B56CB">
      <w:pPr>
        <w:spacing w:after="0" w:line="240" w:lineRule="auto"/>
      </w:pPr>
      <w:r>
        <w:t>•</w:t>
      </w:r>
      <w:r>
        <w:tab/>
        <w:t>Full names, dates of birth and gender of children</w:t>
      </w:r>
      <w:r>
        <w:t xml:space="preserve"> and parents</w:t>
      </w:r>
    </w:p>
    <w:p w14:paraId="2BB882FC" w14:textId="6EC94902" w:rsidR="000B56CB" w:rsidRDefault="000B56CB" w:rsidP="000B56CB">
      <w:pPr>
        <w:spacing w:after="0" w:line="240" w:lineRule="auto"/>
      </w:pPr>
      <w:r>
        <w:t>•</w:t>
      </w:r>
      <w:r>
        <w:tab/>
        <w:t>Family address</w:t>
      </w:r>
      <w:r>
        <w:t>es.</w:t>
      </w:r>
    </w:p>
    <w:p w14:paraId="6085C361" w14:textId="2D17F6BF" w:rsidR="000B56CB" w:rsidRDefault="000B56CB" w:rsidP="000B56CB">
      <w:pPr>
        <w:spacing w:after="0" w:line="240" w:lineRule="auto"/>
      </w:pPr>
      <w:r>
        <w:t>•</w:t>
      </w:r>
      <w:r>
        <w:tab/>
        <w:t>Identity of those with parental responsibility</w:t>
      </w:r>
    </w:p>
    <w:p w14:paraId="06A5452C" w14:textId="77E8D961" w:rsidR="000B56CB" w:rsidRDefault="000B56CB" w:rsidP="000B56CB">
      <w:pPr>
        <w:spacing w:after="0" w:line="240" w:lineRule="auto"/>
      </w:pPr>
      <w:r>
        <w:t>•</w:t>
      </w:r>
      <w:r>
        <w:tab/>
      </w:r>
      <w:r>
        <w:t>W</w:t>
      </w:r>
      <w:r>
        <w:t>here relevant, school/nursery attended</w:t>
      </w:r>
    </w:p>
    <w:p w14:paraId="0D5B4FCD" w14:textId="3B02B322" w:rsidR="000B56CB" w:rsidRDefault="000B56CB" w:rsidP="000B56CB">
      <w:pPr>
        <w:spacing w:after="0" w:line="240" w:lineRule="auto"/>
      </w:pPr>
      <w:r>
        <w:t>•</w:t>
      </w:r>
      <w:r>
        <w:tab/>
        <w:t>Ethnicity, first language and religion of children and parents</w:t>
      </w:r>
    </w:p>
    <w:p w14:paraId="03112266" w14:textId="4F495F72" w:rsidR="000B56CB" w:rsidRDefault="000B56CB" w:rsidP="000B56CB">
      <w:pPr>
        <w:spacing w:after="0" w:line="240" w:lineRule="auto"/>
      </w:pPr>
      <w:r>
        <w:t>•</w:t>
      </w:r>
      <w:r>
        <w:tab/>
        <w:t>Nationality and immigration status</w:t>
      </w:r>
    </w:p>
    <w:p w14:paraId="43615C00" w14:textId="4CDF734D" w:rsidR="000B56CB" w:rsidRDefault="000B56CB" w:rsidP="000B56CB">
      <w:pPr>
        <w:spacing w:after="0" w:line="240" w:lineRule="auto"/>
      </w:pPr>
      <w:r>
        <w:t>•</w:t>
      </w:r>
      <w:r>
        <w:tab/>
        <w:t>Any additional needs of the children including the means in which they communicate</w:t>
      </w:r>
    </w:p>
    <w:p w14:paraId="091347A5" w14:textId="3357377A" w:rsidR="000B56CB" w:rsidRDefault="000B56CB" w:rsidP="000B56CB">
      <w:pPr>
        <w:spacing w:after="0" w:line="240" w:lineRule="auto"/>
      </w:pPr>
      <w:r>
        <w:t>•</w:t>
      </w:r>
      <w:r>
        <w:tab/>
        <w:t>Any significant recent or past events</w:t>
      </w:r>
    </w:p>
    <w:p w14:paraId="43B02EAD" w14:textId="33F80961" w:rsidR="000B56CB" w:rsidRDefault="000B56CB" w:rsidP="000B56CB">
      <w:pPr>
        <w:spacing w:after="0" w:line="240" w:lineRule="auto"/>
      </w:pPr>
      <w:r>
        <w:t>•</w:t>
      </w:r>
      <w:r>
        <w:tab/>
        <w:t xml:space="preserve">Cause for concern including details of allegations, their sources, </w:t>
      </w:r>
      <w:proofErr w:type="gramStart"/>
      <w:r>
        <w:t>timing</w:t>
      </w:r>
      <w:proofErr w:type="gramEnd"/>
      <w:r>
        <w:t xml:space="preserve"> and location</w:t>
      </w:r>
    </w:p>
    <w:p w14:paraId="58FB835B" w14:textId="4D8CA1B5" w:rsidR="000B56CB" w:rsidRDefault="000B56CB" w:rsidP="000B56CB">
      <w:pPr>
        <w:spacing w:after="0" w:line="240" w:lineRule="auto"/>
      </w:pPr>
      <w:r>
        <w:t>•</w:t>
      </w:r>
      <w:r>
        <w:tab/>
        <w:t>The child's current location and emotional and physical condition</w:t>
      </w:r>
    </w:p>
    <w:p w14:paraId="43EB1219" w14:textId="272483EF" w:rsidR="000B56CB" w:rsidRDefault="000B56CB" w:rsidP="000B56CB">
      <w:pPr>
        <w:spacing w:after="0" w:line="240" w:lineRule="auto"/>
      </w:pPr>
      <w:r>
        <w:t>•</w:t>
      </w:r>
      <w:r>
        <w:tab/>
        <w:t>Whether the child needs immediate protection</w:t>
      </w:r>
    </w:p>
    <w:p w14:paraId="2C223355" w14:textId="06FA268D" w:rsidR="000B56CB" w:rsidRDefault="000B56CB" w:rsidP="000B56CB">
      <w:pPr>
        <w:spacing w:after="0" w:line="240" w:lineRule="auto"/>
      </w:pPr>
      <w:r>
        <w:t>•</w:t>
      </w:r>
      <w:r>
        <w:tab/>
      </w:r>
      <w:r>
        <w:t>If relevant d</w:t>
      </w:r>
      <w:r>
        <w:t>etails of any alleged perpetrator</w:t>
      </w:r>
    </w:p>
    <w:p w14:paraId="37180D16" w14:textId="45A59FDA" w:rsidR="000B56CB" w:rsidRDefault="000B56CB" w:rsidP="000B56CB">
      <w:pPr>
        <w:spacing w:after="0" w:line="240" w:lineRule="auto"/>
      </w:pPr>
      <w:r>
        <w:t>•</w:t>
      </w:r>
      <w:r>
        <w:tab/>
        <w:t>Referrer's relationship with and knowledge of the child and their family</w:t>
      </w:r>
    </w:p>
    <w:p w14:paraId="30BACA3A" w14:textId="7DF25144" w:rsidR="000B56CB" w:rsidRDefault="000B56CB" w:rsidP="000B56CB">
      <w:pPr>
        <w:spacing w:after="0" w:line="240" w:lineRule="auto"/>
      </w:pPr>
      <w:r>
        <w:t>•</w:t>
      </w:r>
      <w:r>
        <w:tab/>
        <w:t>Known involvement of other agencies</w:t>
      </w:r>
    </w:p>
    <w:p w14:paraId="0DE64752" w14:textId="63188CC0" w:rsidR="00C2630B" w:rsidRDefault="000B56CB" w:rsidP="000B56CB">
      <w:pPr>
        <w:spacing w:after="0" w:line="240" w:lineRule="auto"/>
      </w:pPr>
      <w:r>
        <w:t>•</w:t>
      </w:r>
      <w:r>
        <w:tab/>
        <w:t>Information regarding parents' knowledge of the referral</w:t>
      </w:r>
      <w:r>
        <w:t xml:space="preserve"> and their views</w:t>
      </w:r>
      <w:r>
        <w:t>.</w:t>
      </w:r>
      <w:r w:rsidR="00C2630B">
        <w:t xml:space="preserve"> </w:t>
      </w:r>
      <w:proofErr w:type="gramStart"/>
      <w:r w:rsidR="00C2630B">
        <w:t>Also</w:t>
      </w:r>
      <w:proofErr w:type="gramEnd"/>
      <w:r w:rsidR="00C2630B">
        <w:t xml:space="preserve"> if appropriate deepening on the child’s age and capacity, the child’s view should also be sought. </w:t>
      </w:r>
    </w:p>
    <w:p w14:paraId="5F0CB87A" w14:textId="77777777" w:rsidR="000B56CB" w:rsidRDefault="000B56CB" w:rsidP="000B56CB">
      <w:pPr>
        <w:spacing w:after="0" w:line="240" w:lineRule="auto"/>
      </w:pPr>
    </w:p>
    <w:p w14:paraId="2AD1B4AA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3. Timescales</w:t>
      </w:r>
    </w:p>
    <w:p w14:paraId="78DC505C" w14:textId="15B270FB" w:rsidR="00B26670" w:rsidRDefault="00B26670" w:rsidP="000B56CB">
      <w:pPr>
        <w:spacing w:after="0" w:line="240" w:lineRule="auto"/>
      </w:pPr>
    </w:p>
    <w:p w14:paraId="5682EAB7" w14:textId="666C5C47" w:rsidR="0046124A" w:rsidRDefault="0046124A" w:rsidP="000B56CB">
      <w:pPr>
        <w:spacing w:after="0" w:line="240" w:lineRule="auto"/>
      </w:pPr>
      <w:r>
        <w:t xml:space="preserve">Contacts are to </w:t>
      </w:r>
      <w:proofErr w:type="gramStart"/>
      <w:r>
        <w:t>reviewed</w:t>
      </w:r>
      <w:proofErr w:type="gramEnd"/>
      <w:r>
        <w:t xml:space="preserve"> within one working day. </w:t>
      </w:r>
    </w:p>
    <w:p w14:paraId="1CEF405C" w14:textId="77777777" w:rsidR="0046124A" w:rsidRDefault="0046124A" w:rsidP="000B56CB">
      <w:pPr>
        <w:spacing w:after="0" w:line="240" w:lineRule="auto"/>
      </w:pPr>
    </w:p>
    <w:p w14:paraId="02A84A93" w14:textId="77777777" w:rsidR="0046124A" w:rsidRDefault="0046124A" w:rsidP="000B56CB">
      <w:pPr>
        <w:spacing w:after="0" w:line="240" w:lineRule="auto"/>
      </w:pPr>
      <w:r>
        <w:t xml:space="preserve">If further enquiries are needed whereby partner agency information is required, this will progress to a MASH assessment for further review. </w:t>
      </w:r>
    </w:p>
    <w:p w14:paraId="273DCBA9" w14:textId="77777777" w:rsidR="0046124A" w:rsidRDefault="0046124A" w:rsidP="000B56CB">
      <w:pPr>
        <w:spacing w:after="0" w:line="240" w:lineRule="auto"/>
      </w:pPr>
    </w:p>
    <w:p w14:paraId="00A44D72" w14:textId="77777777" w:rsidR="0046124A" w:rsidRDefault="0046124A" w:rsidP="000B56CB">
      <w:pPr>
        <w:spacing w:after="0" w:line="240" w:lineRule="auto"/>
      </w:pPr>
      <w:r>
        <w:t>MASH Assessments are RAG rated RED, AMBER or GREEN depending on the level of concern.</w:t>
      </w:r>
    </w:p>
    <w:p w14:paraId="441DD08A" w14:textId="77777777" w:rsidR="0046124A" w:rsidRDefault="0046124A" w:rsidP="000B56CB">
      <w:pPr>
        <w:spacing w:after="0" w:line="240" w:lineRule="auto"/>
      </w:pPr>
      <w:r>
        <w:t xml:space="preserve">RED – to be completed in 4 hours (usually a strategy meeting). </w:t>
      </w:r>
    </w:p>
    <w:p w14:paraId="1E3FFEAF" w14:textId="77777777" w:rsidR="0046124A" w:rsidRDefault="0046124A" w:rsidP="000B56CB">
      <w:pPr>
        <w:spacing w:after="0" w:line="240" w:lineRule="auto"/>
      </w:pPr>
      <w:r>
        <w:t xml:space="preserve">AMBER – to be completed within a working day (majority of AMSH assessments, no immediate risk of harm identified). </w:t>
      </w:r>
    </w:p>
    <w:p w14:paraId="704E42C3" w14:textId="46D61713" w:rsidR="00B26670" w:rsidRDefault="0046124A" w:rsidP="000B56CB">
      <w:pPr>
        <w:spacing w:after="0" w:line="240" w:lineRule="auto"/>
      </w:pPr>
      <w:r>
        <w:t xml:space="preserve">GREEN – to be completed in 3 working days (usually where Early Help is likely outcome). RAG ratings are reviewed on an ongoing basis so can change when required depending on information being received.  </w:t>
      </w:r>
    </w:p>
    <w:p w14:paraId="2A775E1A" w14:textId="77777777" w:rsidR="0046124A" w:rsidRDefault="0046124A" w:rsidP="000B56CB">
      <w:pPr>
        <w:spacing w:after="0" w:line="240" w:lineRule="auto"/>
      </w:pPr>
    </w:p>
    <w:p w14:paraId="57C216D5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4. Screening Process</w:t>
      </w:r>
    </w:p>
    <w:p w14:paraId="6DD677E2" w14:textId="19659A9B" w:rsidR="00B26670" w:rsidRDefault="000B56CB" w:rsidP="000B56CB">
      <w:pPr>
        <w:spacing w:after="0" w:line="240" w:lineRule="auto"/>
      </w:pPr>
      <w:r w:rsidRPr="000B56CB">
        <w:t>Contacts are reviewed by MASH managers and where required will be allocated to a MASH social worker for review</w:t>
      </w:r>
      <w:r w:rsidR="00C2630B">
        <w:t xml:space="preserve"> and action</w:t>
      </w:r>
      <w:r w:rsidRPr="000B56CB">
        <w:t>.</w:t>
      </w:r>
    </w:p>
    <w:p w14:paraId="69E8DB70" w14:textId="77777777" w:rsidR="00C2630B" w:rsidRDefault="00C2630B" w:rsidP="000B56CB">
      <w:pPr>
        <w:spacing w:after="0" w:line="240" w:lineRule="auto"/>
      </w:pPr>
    </w:p>
    <w:p w14:paraId="474B8AE3" w14:textId="2F16D13B" w:rsidR="00C2630B" w:rsidRDefault="00C2630B" w:rsidP="000B56CB">
      <w:pPr>
        <w:spacing w:after="0" w:line="240" w:lineRule="auto"/>
      </w:pPr>
      <w:r>
        <w:t xml:space="preserve">The MASH referral information will inform what actions are required by MASH. </w:t>
      </w:r>
    </w:p>
    <w:p w14:paraId="46620759" w14:textId="3652255D" w:rsidR="00C2630B" w:rsidRDefault="00C2630B" w:rsidP="000B56CB">
      <w:pPr>
        <w:spacing w:after="0" w:line="240" w:lineRule="auto"/>
      </w:pPr>
    </w:p>
    <w:p w14:paraId="0870231A" w14:textId="0A25032F" w:rsidR="00C2630B" w:rsidRDefault="00C2630B" w:rsidP="000B56CB">
      <w:pPr>
        <w:spacing w:after="0" w:line="240" w:lineRule="auto"/>
      </w:pPr>
      <w:r>
        <w:t>If there are no concerns that require immediate action, the screening process by Social Workers should include:</w:t>
      </w:r>
    </w:p>
    <w:p w14:paraId="1178092F" w14:textId="708CA6BB" w:rsidR="00C2630B" w:rsidRDefault="00C2630B" w:rsidP="00C2630B">
      <w:pPr>
        <w:spacing w:after="0" w:line="240" w:lineRule="auto"/>
      </w:pPr>
      <w:r>
        <w:t>•</w:t>
      </w:r>
      <w:r>
        <w:tab/>
      </w:r>
      <w:r>
        <w:t>A review of the social care history.</w:t>
      </w:r>
    </w:p>
    <w:p w14:paraId="5EE53EC8" w14:textId="09C6AF21" w:rsidR="00C2630B" w:rsidRDefault="00C2630B" w:rsidP="00C2630B">
      <w:pPr>
        <w:spacing w:after="0" w:line="240" w:lineRule="auto"/>
      </w:pPr>
      <w:r w:rsidRPr="00C2630B">
        <w:t>•</w:t>
      </w:r>
      <w:r w:rsidRPr="00C2630B">
        <w:tab/>
      </w:r>
      <w:r>
        <w:t xml:space="preserve">If required, gathering more </w:t>
      </w:r>
      <w:proofErr w:type="gramStart"/>
      <w:r>
        <w:t>information</w:t>
      </w:r>
      <w:proofErr w:type="gramEnd"/>
      <w:r>
        <w:t xml:space="preserve"> or discussing with the referrer. </w:t>
      </w:r>
    </w:p>
    <w:p w14:paraId="4504F8AF" w14:textId="3D707045" w:rsidR="00C2630B" w:rsidRDefault="00C2630B" w:rsidP="00C2630B">
      <w:pPr>
        <w:spacing w:after="0" w:line="240" w:lineRule="auto"/>
      </w:pPr>
      <w:r>
        <w:t>•</w:t>
      </w:r>
      <w:r>
        <w:tab/>
      </w:r>
      <w:r>
        <w:t xml:space="preserve">Discussion with parents about the referral concerns. If appropriate the child can be spoken with – this will depend on the referral information and the age/capacity of the child. </w:t>
      </w:r>
      <w:r w:rsidR="002546ED">
        <w:t>Consent should be obtained for gathering information from partner agencies, including obtaining the child voice.</w:t>
      </w:r>
    </w:p>
    <w:p w14:paraId="6AC53CA5" w14:textId="55ABB3C7" w:rsidR="00C2630B" w:rsidRDefault="00C2630B" w:rsidP="00C2630B">
      <w:pPr>
        <w:spacing w:after="0" w:line="240" w:lineRule="auto"/>
      </w:pPr>
      <w:r>
        <w:t>•</w:t>
      </w:r>
      <w:r>
        <w:tab/>
      </w:r>
      <w:r>
        <w:t xml:space="preserve">Gathering of partner agency information – depending on the referral concerns will inform what checks are required. These can include Police, Education, Health, Probation, other Children’s Services if the family have lived out of Torbay. </w:t>
      </w:r>
    </w:p>
    <w:p w14:paraId="2BB47570" w14:textId="10356BF7" w:rsidR="00C2630B" w:rsidRDefault="00C2630B" w:rsidP="00C2630B">
      <w:pPr>
        <w:spacing w:after="0" w:line="240" w:lineRule="auto"/>
      </w:pPr>
      <w:r>
        <w:t>•</w:t>
      </w:r>
      <w:r>
        <w:tab/>
      </w:r>
      <w:r>
        <w:t xml:space="preserve">Follow up conversations with parents and wider family if required. </w:t>
      </w:r>
    </w:p>
    <w:p w14:paraId="305829FD" w14:textId="48F7CA63" w:rsidR="00C2630B" w:rsidRDefault="00C2630B" w:rsidP="000B56CB">
      <w:pPr>
        <w:spacing w:after="0" w:line="240" w:lineRule="auto"/>
      </w:pPr>
      <w:r>
        <w:t>•</w:t>
      </w:r>
      <w:r>
        <w:tab/>
      </w:r>
      <w:r>
        <w:t>Full analysis of this information which is reviewed alongside the threshold document to inform level of support required.</w:t>
      </w:r>
    </w:p>
    <w:p w14:paraId="651C072A" w14:textId="7F4BAFDE" w:rsidR="00C2630B" w:rsidRDefault="00C2630B" w:rsidP="000B56CB">
      <w:pPr>
        <w:spacing w:after="0" w:line="240" w:lineRule="auto"/>
      </w:pPr>
    </w:p>
    <w:p w14:paraId="15A6E125" w14:textId="62F99174" w:rsidR="00C2630B" w:rsidRDefault="00C2630B" w:rsidP="002546ED">
      <w:pPr>
        <w:spacing w:after="0" w:line="240" w:lineRule="auto"/>
      </w:pPr>
      <w:r>
        <w:t xml:space="preserve">If the concerns require an immediate response, </w:t>
      </w:r>
      <w:r w:rsidR="002546ED">
        <w:t>where</w:t>
      </w:r>
      <w:r w:rsidR="002546ED">
        <w:t xml:space="preserve"> there is reasonable cause to suspect that a child is suffering or is likely to suffer</w:t>
      </w:r>
      <w:r w:rsidR="002546ED">
        <w:t xml:space="preserve"> </w:t>
      </w:r>
      <w:r w:rsidR="002546ED">
        <w:t>significant harm</w:t>
      </w:r>
      <w:r w:rsidR="002546ED">
        <w:t xml:space="preserve">, </w:t>
      </w:r>
      <w:r>
        <w:t xml:space="preserve">a strategy meeting will be convened. A strategy meeting is a </w:t>
      </w:r>
      <w:proofErr w:type="spellStart"/>
      <w:r>
        <w:t>multi agency</w:t>
      </w:r>
      <w:proofErr w:type="spellEnd"/>
      <w:r>
        <w:t xml:space="preserve"> meeting where partners will share relevant information and a discussion will be held around threshold, safety planning, and actions required. Depending on the concern will depend on who is invited to the meeting. Partners should include Police, Health, </w:t>
      </w:r>
      <w:proofErr w:type="gramStart"/>
      <w:r>
        <w:t>Education</w:t>
      </w:r>
      <w:proofErr w:type="gramEnd"/>
      <w:r>
        <w:t xml:space="preserve"> and nursery if attending, and social care. Further partners could include Probation, SARC, and a paediatrician. </w:t>
      </w:r>
    </w:p>
    <w:p w14:paraId="72FCA193" w14:textId="60CF88A6" w:rsidR="00B26670" w:rsidRDefault="00B26670" w:rsidP="000B56CB">
      <w:pPr>
        <w:spacing w:after="0" w:line="240" w:lineRule="auto"/>
      </w:pPr>
    </w:p>
    <w:p w14:paraId="472C4F8A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5. Initial Disposal of Referrals</w:t>
      </w:r>
    </w:p>
    <w:p w14:paraId="14BA3913" w14:textId="6322B6B4" w:rsidR="00B26670" w:rsidRDefault="00B26670" w:rsidP="000B56CB">
      <w:pPr>
        <w:spacing w:after="0" w:line="240" w:lineRule="auto"/>
      </w:pPr>
    </w:p>
    <w:p w14:paraId="41C32383" w14:textId="50382DF2" w:rsidR="002546ED" w:rsidRDefault="002546ED" w:rsidP="002546ED">
      <w:pPr>
        <w:spacing w:after="0" w:line="240" w:lineRule="auto"/>
      </w:pPr>
      <w:r>
        <w:t>The</w:t>
      </w:r>
      <w:r>
        <w:t xml:space="preserve"> outcome of a contact or MASH assessment</w:t>
      </w:r>
      <w:r>
        <w:t xml:space="preserve">, which must be authorised by the manager, </w:t>
      </w:r>
      <w:r>
        <w:t>could be</w:t>
      </w:r>
      <w:r>
        <w:t xml:space="preserve"> </w:t>
      </w:r>
      <w:proofErr w:type="spellStart"/>
      <w:r>
        <w:t>be</w:t>
      </w:r>
      <w:proofErr w:type="spellEnd"/>
      <w:r>
        <w:t>:</w:t>
      </w:r>
    </w:p>
    <w:p w14:paraId="3000F372" w14:textId="77777777" w:rsidR="002546ED" w:rsidRDefault="002546ED" w:rsidP="002546ED">
      <w:pPr>
        <w:spacing w:after="0" w:line="240" w:lineRule="auto"/>
      </w:pPr>
    </w:p>
    <w:p w14:paraId="21E5E7EF" w14:textId="77777777" w:rsidR="002546ED" w:rsidRDefault="002546ED" w:rsidP="002546E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No further action – parent/s have been provided </w:t>
      </w:r>
      <w:r>
        <w:t xml:space="preserve">information, advice, </w:t>
      </w:r>
      <w:proofErr w:type="gramStart"/>
      <w:r>
        <w:t>sign-posting</w:t>
      </w:r>
      <w:proofErr w:type="gramEnd"/>
      <w:r>
        <w:t xml:space="preserve"> to another agency</w:t>
      </w:r>
      <w:r>
        <w:t>.</w:t>
      </w:r>
    </w:p>
    <w:p w14:paraId="3CADCAF1" w14:textId="4BB12F94" w:rsidR="002546ED" w:rsidRDefault="002546ED" w:rsidP="002546E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Child/children are passed for a statutory assessment to be completed by a social worker. </w:t>
      </w:r>
    </w:p>
    <w:p w14:paraId="677B1090" w14:textId="5037F49B" w:rsidR="002546ED" w:rsidRDefault="002546ED" w:rsidP="002546E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 strategy meeting is held and if the outcome is s17 or s47, child/children are passed for allocation to a social worker for assessment. </w:t>
      </w:r>
    </w:p>
    <w:p w14:paraId="0DAFB00F" w14:textId="2A0581CF" w:rsidR="00E04DC9" w:rsidRDefault="00E04DC9" w:rsidP="00E04DC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Early Help support is required, where the child/children are passed to Early </w:t>
      </w:r>
      <w:proofErr w:type="gramStart"/>
      <w:r>
        <w:t>Help</w:t>
      </w:r>
      <w:proofErr w:type="gramEnd"/>
      <w:r>
        <w:t xml:space="preserve"> or the referrer is asked to completed an Early Help assessment (please see Early Help for more information).</w:t>
      </w:r>
    </w:p>
    <w:p w14:paraId="6DF0F6C7" w14:textId="77777777" w:rsidR="00E04DC9" w:rsidRDefault="00E04DC9" w:rsidP="002546ED">
      <w:pPr>
        <w:spacing w:after="0" w:line="240" w:lineRule="auto"/>
      </w:pPr>
    </w:p>
    <w:p w14:paraId="0072E0D2" w14:textId="2C94D8EB" w:rsidR="002546ED" w:rsidRDefault="002546ED" w:rsidP="002546ED">
      <w:pPr>
        <w:spacing w:after="0" w:line="240" w:lineRule="auto"/>
      </w:pPr>
      <w:r>
        <w:t xml:space="preserve">Professional referrers should be advised of the </w:t>
      </w:r>
      <w:r w:rsidR="00E04DC9">
        <w:t>outcome of their MASH referral</w:t>
      </w:r>
      <w:r>
        <w:t>.</w:t>
      </w:r>
    </w:p>
    <w:p w14:paraId="655281F1" w14:textId="58A01AB0" w:rsidR="00E04DC9" w:rsidRDefault="00E04DC9" w:rsidP="002546ED">
      <w:pPr>
        <w:spacing w:after="0" w:line="240" w:lineRule="auto"/>
      </w:pPr>
      <w:r>
        <w:t xml:space="preserve">Partner agencies that have provided information will receive feedback. </w:t>
      </w:r>
    </w:p>
    <w:p w14:paraId="33AE00C2" w14:textId="14B27A54" w:rsidR="00E04DC9" w:rsidRDefault="00E04DC9" w:rsidP="002546ED">
      <w:pPr>
        <w:spacing w:after="0" w:line="240" w:lineRule="auto"/>
      </w:pPr>
      <w:r>
        <w:t xml:space="preserve">If the referrer id anonymous they are not provided with feedback. </w:t>
      </w:r>
    </w:p>
    <w:p w14:paraId="1E0BA1C3" w14:textId="00E6AD59" w:rsidR="00E04DC9" w:rsidRDefault="00E04DC9" w:rsidP="002546ED">
      <w:pPr>
        <w:spacing w:after="0" w:line="240" w:lineRule="auto"/>
      </w:pPr>
      <w:r>
        <w:t xml:space="preserve">Parents, and where appropriate children, are updated on the outcome by telephone and letter. </w:t>
      </w:r>
    </w:p>
    <w:p w14:paraId="001D7409" w14:textId="04F93997" w:rsidR="00B26670" w:rsidRDefault="00B26670" w:rsidP="000B56CB">
      <w:pPr>
        <w:spacing w:after="0" w:line="240" w:lineRule="auto"/>
      </w:pPr>
    </w:p>
    <w:p w14:paraId="246EB350" w14:textId="77777777" w:rsidR="00B26670" w:rsidRPr="004D1709" w:rsidRDefault="00B26670" w:rsidP="000B56C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</w:pPr>
      <w:r w:rsidRPr="004D1709">
        <w:rPr>
          <w:rFonts w:ascii="inherit" w:eastAsia="Times New Roman" w:hAnsi="inherit" w:cs="Arial"/>
          <w:b/>
          <w:bCs/>
          <w:color w:val="2A7884"/>
          <w:sz w:val="45"/>
          <w:szCs w:val="45"/>
          <w:lang w:eastAsia="en-GB"/>
        </w:rPr>
        <w:t>6. Recording of Referrals</w:t>
      </w:r>
    </w:p>
    <w:p w14:paraId="682311CC" w14:textId="112CAE1A" w:rsidR="00B26670" w:rsidRDefault="00B26670" w:rsidP="000B56CB">
      <w:pPr>
        <w:spacing w:after="0" w:line="240" w:lineRule="auto"/>
      </w:pPr>
    </w:p>
    <w:p w14:paraId="7A1FDEF4" w14:textId="1AC7D6B5" w:rsidR="00E04DC9" w:rsidRPr="00B530D1" w:rsidRDefault="00E04DC9" w:rsidP="000B56CB">
      <w:pPr>
        <w:spacing w:after="0" w:line="240" w:lineRule="auto"/>
      </w:pPr>
      <w:r>
        <w:t xml:space="preserve">All contacts, MASH referrals, and MASH assessments are recorded on Liquid Logic, the electronic data base for Torbay Children’s Services. </w:t>
      </w:r>
    </w:p>
    <w:sectPr w:rsidR="00E04DC9" w:rsidRPr="00B530D1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1BD7" w14:textId="77777777" w:rsidR="00B26670" w:rsidRDefault="00B26670" w:rsidP="008952DF">
      <w:r>
        <w:separator/>
      </w:r>
    </w:p>
  </w:endnote>
  <w:endnote w:type="continuationSeparator" w:id="0">
    <w:p w14:paraId="2C2C186B" w14:textId="77777777" w:rsidR="00B26670" w:rsidRDefault="00B26670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12CB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05239DCD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C8854A2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26977DF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5D7A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321A" w14:textId="77777777" w:rsidR="00B26670" w:rsidRDefault="00B26670" w:rsidP="008952DF">
      <w:r>
        <w:separator/>
      </w:r>
    </w:p>
  </w:footnote>
  <w:footnote w:type="continuationSeparator" w:id="0">
    <w:p w14:paraId="72965D08" w14:textId="77777777" w:rsidR="00B26670" w:rsidRDefault="00B26670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C01B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BFE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E868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7187B"/>
    <w:multiLevelType w:val="hybridMultilevel"/>
    <w:tmpl w:val="DAA8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0"/>
    <w:rsid w:val="0002446C"/>
    <w:rsid w:val="000B56CB"/>
    <w:rsid w:val="00126E15"/>
    <w:rsid w:val="002546ED"/>
    <w:rsid w:val="002C6DE4"/>
    <w:rsid w:val="00324433"/>
    <w:rsid w:val="00363A16"/>
    <w:rsid w:val="003D033D"/>
    <w:rsid w:val="004067A0"/>
    <w:rsid w:val="004404F5"/>
    <w:rsid w:val="0046124A"/>
    <w:rsid w:val="00492E76"/>
    <w:rsid w:val="0049312B"/>
    <w:rsid w:val="00520C03"/>
    <w:rsid w:val="00535E8E"/>
    <w:rsid w:val="006358DC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F592C"/>
    <w:rsid w:val="00B237C0"/>
    <w:rsid w:val="00B26670"/>
    <w:rsid w:val="00B377FC"/>
    <w:rsid w:val="00B530D1"/>
    <w:rsid w:val="00C00AB0"/>
    <w:rsid w:val="00C2630B"/>
    <w:rsid w:val="00C520E4"/>
    <w:rsid w:val="00E04DC9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725D"/>
  <w15:chartTrackingRefBased/>
  <w15:docId w15:val="{879E50C5-10D8-40A0-A26B-5CA4C1AF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2667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after="12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4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spacing w:after="120" w:line="264" w:lineRule="auto"/>
      <w:ind w:left="720"/>
      <w:contextualSpacing/>
    </w:pPr>
    <w:rPr>
      <w:sz w:val="24"/>
      <w:szCs w:val="21"/>
    </w:r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after="120"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  <w:sz w:val="24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  <w:rPr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  <w:rPr>
      <w:sz w:val="24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8" ma:contentTypeDescription="Create a new document." ma:contentTypeScope="" ma:versionID="b2c1ad6320b9378312609b2902a5da13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db3e945ee5f0c58e1125404c2cc5eb6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F80A5-6015-4DE0-9A31-3B6793B7CB26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Tresidder, Polly</dc:creator>
  <cp:keywords/>
  <dc:description/>
  <cp:lastModifiedBy>Tresidder, Polly</cp:lastModifiedBy>
  <cp:revision>1</cp:revision>
  <dcterms:created xsi:type="dcterms:W3CDTF">2021-09-13T08:42:00Z</dcterms:created>
  <dcterms:modified xsi:type="dcterms:W3CDTF">2021-09-13T11:38:00Z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94541561</vt:i4>
  </property>
  <property fmtid="{D5CDD505-2E9C-101B-9397-08002B2CF9AE}" pid="3" name="_NewReviewCycle">
    <vt:lpwstr/>
  </property>
  <property fmtid="{D5CDD505-2E9C-101B-9397-08002B2CF9AE}" pid="4" name="_EmailSubject">
    <vt:lpwstr>TSCP website updates</vt:lpwstr>
  </property>
  <property fmtid="{D5CDD505-2E9C-101B-9397-08002B2CF9AE}" pid="5" name="_AuthorEmail">
    <vt:lpwstr>Polly.Tresidder@torbay.gov.uk</vt:lpwstr>
  </property>
  <property fmtid="{D5CDD505-2E9C-101B-9397-08002B2CF9AE}" pid="6" name="_AuthorEmailDisplayName">
    <vt:lpwstr>Tresidder, Polly</vt:lpwstr>
  </property>
  <property fmtid="{D5CDD505-2E9C-101B-9397-08002B2CF9AE}" pid="7" name="ContentTypeId">
    <vt:lpwstr>0x0101003184AD11B23B47449E5A1DF5FE47DC82</vt:lpwstr>
  </property>
</Properties>
</file>